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47" w:type="dxa"/>
        <w:tblInd w:w="-510" w:type="dxa"/>
        <w:tblLayout w:type="fixed"/>
        <w:tblCellMar>
          <w:left w:w="120" w:type="dxa"/>
          <w:right w:w="120" w:type="dxa"/>
        </w:tblCellMar>
        <w:tblLook w:val="0000" w:firstRow="0" w:lastRow="0" w:firstColumn="0" w:lastColumn="0" w:noHBand="0" w:noVBand="0"/>
      </w:tblPr>
      <w:tblGrid>
        <w:gridCol w:w="11247"/>
      </w:tblGrid>
      <w:tr w:rsidR="00FF2C58">
        <w:trPr>
          <w:cantSplit/>
          <w:trHeight w:val="1444"/>
        </w:trPr>
        <w:tc>
          <w:tcPr>
            <w:tcW w:w="11247" w:type="dxa"/>
            <w:tcBorders>
              <w:top w:val="double" w:sz="6" w:space="0" w:color="auto"/>
              <w:left w:val="double" w:sz="6" w:space="0" w:color="auto"/>
              <w:bottom w:val="double" w:sz="6" w:space="0" w:color="auto"/>
              <w:right w:val="double" w:sz="6" w:space="0" w:color="auto"/>
            </w:tcBorders>
          </w:tcPr>
          <w:p w:rsidR="00FF2C58" w:rsidRDefault="002B0846">
            <w:pPr>
              <w:jc w:val="center"/>
              <w:rPr>
                <w:rFonts w:ascii="Times New Roman" w:hAnsi="Times New Roman" w:cs="Times New Roman"/>
                <w:b/>
                <w:bCs/>
                <w:sz w:val="57"/>
                <w:szCs w:val="57"/>
              </w:rPr>
            </w:pPr>
            <w:r>
              <w:rPr>
                <w:rFonts w:ascii="Times New Roman" w:hAnsi="Times New Roman" w:cs="Times New Roman"/>
                <w:b/>
                <w:bCs/>
                <w:sz w:val="57"/>
                <w:szCs w:val="57"/>
              </w:rPr>
              <w:t>Yamhill County</w:t>
            </w:r>
          </w:p>
          <w:p w:rsidR="00FF2C58" w:rsidRDefault="002B0846">
            <w:pPr>
              <w:jc w:val="center"/>
              <w:rPr>
                <w:rFonts w:ascii="Times New Roman" w:hAnsi="Times New Roman" w:cs="Times New Roman"/>
                <w:b/>
                <w:bCs/>
                <w:sz w:val="31"/>
                <w:szCs w:val="31"/>
              </w:rPr>
            </w:pPr>
            <w:r>
              <w:rPr>
                <w:rFonts w:ascii="Times New Roman" w:hAnsi="Times New Roman" w:cs="Times New Roman"/>
                <w:b/>
                <w:bCs/>
                <w:sz w:val="31"/>
                <w:szCs w:val="31"/>
              </w:rPr>
              <w:t>DEPARTMENT OF PLANNING AND DEVELOPMENT</w:t>
            </w:r>
          </w:p>
          <w:p w:rsidR="00FF2C58" w:rsidRDefault="00B64563">
            <w:pPr>
              <w:jc w:val="center"/>
              <w:rPr>
                <w:rFonts w:ascii="Times New Roman" w:hAnsi="Times New Roman" w:cs="Times New Roman"/>
                <w:b/>
                <w:bCs/>
                <w:sz w:val="23"/>
                <w:szCs w:val="23"/>
              </w:rPr>
            </w:pPr>
            <w:r>
              <w:rPr>
                <w:rFonts w:ascii="Times New Roman" w:hAnsi="Times New Roman" w:cs="Times New Roman"/>
                <w:b/>
                <w:bCs/>
                <w:sz w:val="23"/>
                <w:szCs w:val="23"/>
              </w:rPr>
              <w:t>525 NE FOURTH STREET</w:t>
            </w:r>
            <w:r w:rsidR="001C1245">
              <w:rPr>
                <w:rFonts w:ascii="Times New Roman" w:hAnsi="Times New Roman" w:cs="Times New Roman"/>
                <w:b/>
                <w:bCs/>
                <w:sz w:val="23"/>
                <w:szCs w:val="23"/>
              </w:rPr>
              <w:t>,</w:t>
            </w:r>
            <w:r>
              <w:rPr>
                <w:rFonts w:ascii="Times New Roman" w:hAnsi="Times New Roman" w:cs="Times New Roman"/>
                <w:b/>
                <w:bCs/>
                <w:sz w:val="23"/>
                <w:szCs w:val="23"/>
              </w:rPr>
              <w:t xml:space="preserve"> </w:t>
            </w:r>
            <w:proofErr w:type="spellStart"/>
            <w:r w:rsidR="002B0846">
              <w:rPr>
                <w:rFonts w:ascii="Times New Roman" w:hAnsi="Times New Roman" w:cs="Times New Roman"/>
                <w:b/>
                <w:bCs/>
                <w:sz w:val="23"/>
                <w:szCs w:val="23"/>
              </w:rPr>
              <w:t>McMINNVILLE</w:t>
            </w:r>
            <w:proofErr w:type="spellEnd"/>
            <w:r w:rsidR="002B0846">
              <w:rPr>
                <w:rFonts w:ascii="Times New Roman" w:hAnsi="Times New Roman" w:cs="Times New Roman"/>
                <w:b/>
                <w:bCs/>
                <w:sz w:val="23"/>
                <w:szCs w:val="23"/>
              </w:rPr>
              <w:t>, OREGON 97128-4523</w:t>
            </w:r>
          </w:p>
          <w:p w:rsidR="00FF2C58" w:rsidRDefault="002B0846">
            <w:pPr>
              <w:jc w:val="center"/>
              <w:rPr>
                <w:rFonts w:ascii="Times New Roman" w:hAnsi="Times New Roman" w:cs="Times New Roman"/>
                <w:b/>
                <w:bCs/>
                <w:sz w:val="19"/>
                <w:szCs w:val="19"/>
              </w:rPr>
            </w:pPr>
            <w:r>
              <w:rPr>
                <w:rFonts w:ascii="Times New Roman" w:hAnsi="Times New Roman" w:cs="Times New Roman"/>
                <w:b/>
                <w:bCs/>
                <w:sz w:val="19"/>
                <w:szCs w:val="19"/>
              </w:rPr>
              <w:t xml:space="preserve">Phone:(503) 434-7516  Fax:(503)434-7544  TTY: (800) 735-2900 </w:t>
            </w:r>
            <w:r w:rsidR="001C1245">
              <w:rPr>
                <w:rFonts w:ascii="WP TypographicSymbols" w:hAnsi="WP TypographicSymbols" w:cs="WP TypographicSymbols"/>
                <w:b/>
                <w:bCs/>
                <w:sz w:val="19"/>
                <w:szCs w:val="19"/>
              </w:rPr>
              <w:t xml:space="preserve"> </w:t>
            </w:r>
            <w:r>
              <w:rPr>
                <w:rFonts w:ascii="Times New Roman" w:hAnsi="Times New Roman" w:cs="Times New Roman"/>
                <w:b/>
                <w:bCs/>
                <w:sz w:val="19"/>
                <w:szCs w:val="19"/>
              </w:rPr>
              <w:t>Web: http://www.co.yamhill.or.us/plan/</w:t>
            </w:r>
          </w:p>
          <w:p w:rsidR="00FF2C58" w:rsidRDefault="00FF2C58">
            <w:pPr>
              <w:jc w:val="center"/>
              <w:rPr>
                <w:sz w:val="24"/>
                <w:szCs w:val="24"/>
              </w:rPr>
            </w:pPr>
          </w:p>
        </w:tc>
      </w:tr>
    </w:tbl>
    <w:p w:rsidR="00FF2C58" w:rsidRDefault="00FF2C58">
      <w:pPr>
        <w:spacing w:line="254" w:lineRule="atLeast"/>
        <w:jc w:val="center"/>
        <w:rPr>
          <w:rFonts w:ascii="Times New Roman" w:hAnsi="Times New Roman" w:cs="Times New Roman"/>
          <w:sz w:val="23"/>
          <w:szCs w:val="23"/>
        </w:rPr>
      </w:pPr>
    </w:p>
    <w:p w:rsidR="00FF2C58" w:rsidRDefault="008544A6">
      <w:pPr>
        <w:spacing w:line="254" w:lineRule="atLeast"/>
        <w:jc w:val="center"/>
        <w:rPr>
          <w:rFonts w:ascii="Times New Roman" w:hAnsi="Times New Roman" w:cs="Times New Roman"/>
          <w:b/>
          <w:bCs/>
          <w:sz w:val="23"/>
          <w:szCs w:val="23"/>
        </w:rPr>
      </w:pPr>
      <w:r>
        <w:rPr>
          <w:rFonts w:ascii="Times New Roman" w:hAnsi="Times New Roman" w:cs="Times New Roman"/>
          <w:b/>
          <w:bCs/>
          <w:sz w:val="23"/>
          <w:szCs w:val="23"/>
        </w:rPr>
        <w:t>NOTICE OF</w:t>
      </w:r>
      <w:r w:rsidR="004D1A52">
        <w:rPr>
          <w:rFonts w:ascii="Times New Roman" w:hAnsi="Times New Roman" w:cs="Times New Roman"/>
          <w:b/>
          <w:bCs/>
          <w:sz w:val="23"/>
          <w:szCs w:val="23"/>
        </w:rPr>
        <w:t xml:space="preserve"> PUBLIC HEARING</w:t>
      </w:r>
      <w:r>
        <w:rPr>
          <w:rFonts w:ascii="Times New Roman" w:hAnsi="Times New Roman" w:cs="Times New Roman"/>
          <w:b/>
          <w:bCs/>
          <w:sz w:val="23"/>
          <w:szCs w:val="23"/>
        </w:rPr>
        <w:t xml:space="preserve"> TO REOPEN THE RECORD</w:t>
      </w:r>
    </w:p>
    <w:p w:rsidR="00FF2C58" w:rsidRDefault="002B0846">
      <w:pPr>
        <w:spacing w:line="254" w:lineRule="atLeast"/>
        <w:jc w:val="center"/>
        <w:rPr>
          <w:rFonts w:ascii="Times New Roman" w:hAnsi="Times New Roman" w:cs="Times New Roman"/>
          <w:b/>
          <w:bCs/>
          <w:sz w:val="23"/>
          <w:szCs w:val="23"/>
        </w:rPr>
      </w:pPr>
      <w:r>
        <w:rPr>
          <w:rFonts w:ascii="Times New Roman" w:hAnsi="Times New Roman" w:cs="Times New Roman"/>
          <w:b/>
          <w:bCs/>
          <w:sz w:val="23"/>
          <w:szCs w:val="23"/>
        </w:rPr>
        <w:t>ON REMAND</w:t>
      </w:r>
      <w:r w:rsidR="005A23FF">
        <w:rPr>
          <w:rFonts w:ascii="Times New Roman" w:hAnsi="Times New Roman" w:cs="Times New Roman"/>
          <w:b/>
          <w:bCs/>
          <w:sz w:val="23"/>
          <w:szCs w:val="23"/>
        </w:rPr>
        <w:t xml:space="preserve"> OF BOARD ORDER 15-115</w:t>
      </w:r>
    </w:p>
    <w:p w:rsidR="00AE21E3" w:rsidRDefault="00AE21E3">
      <w:pPr>
        <w:spacing w:line="254" w:lineRule="atLeast"/>
        <w:jc w:val="center"/>
        <w:rPr>
          <w:rFonts w:ascii="Times New Roman" w:hAnsi="Times New Roman" w:cs="Times New Roman"/>
          <w:b/>
          <w:bCs/>
          <w:sz w:val="23"/>
          <w:szCs w:val="23"/>
        </w:rPr>
      </w:pPr>
      <w:r>
        <w:rPr>
          <w:rFonts w:ascii="Times New Roman" w:hAnsi="Times New Roman" w:cs="Times New Roman"/>
          <w:b/>
          <w:bCs/>
          <w:sz w:val="23"/>
          <w:szCs w:val="23"/>
        </w:rPr>
        <w:t xml:space="preserve">FOR RECIEPT OF WRITTEN TESTIMONY </w:t>
      </w:r>
    </w:p>
    <w:p w:rsidR="00AE21E3" w:rsidRDefault="00AE21E3">
      <w:pPr>
        <w:spacing w:line="254" w:lineRule="atLeast"/>
        <w:jc w:val="center"/>
        <w:rPr>
          <w:rFonts w:ascii="Times New Roman" w:hAnsi="Times New Roman" w:cs="Times New Roman"/>
          <w:sz w:val="23"/>
          <w:szCs w:val="23"/>
        </w:rPr>
      </w:pPr>
      <w:r>
        <w:rPr>
          <w:rFonts w:ascii="Times New Roman" w:hAnsi="Times New Roman" w:cs="Times New Roman"/>
          <w:b/>
          <w:bCs/>
          <w:sz w:val="23"/>
          <w:szCs w:val="23"/>
        </w:rPr>
        <w:t>AND EVIDENCE ONLY</w:t>
      </w:r>
    </w:p>
    <w:p w:rsidR="00FF2C58" w:rsidRDefault="002B0846">
      <w:pPr>
        <w:spacing w:line="254" w:lineRule="atLeast"/>
        <w:jc w:val="center"/>
        <w:rPr>
          <w:rFonts w:ascii="Times New Roman" w:hAnsi="Times New Roman" w:cs="Times New Roman"/>
          <w:sz w:val="23"/>
          <w:szCs w:val="23"/>
        </w:rPr>
      </w:pPr>
      <w:r>
        <w:rPr>
          <w:rFonts w:ascii="Times New Roman" w:hAnsi="Times New Roman" w:cs="Times New Roman"/>
          <w:sz w:val="23"/>
          <w:szCs w:val="23"/>
        </w:rPr>
        <w:t>February 4, 2016, 10:00 a.m.</w:t>
      </w:r>
    </w:p>
    <w:p w:rsidR="00FF2C58" w:rsidRPr="001C1245" w:rsidRDefault="00090501" w:rsidP="00090501">
      <w:pPr>
        <w:spacing w:line="254" w:lineRule="atLeast"/>
        <w:jc w:val="center"/>
        <w:rPr>
          <w:rFonts w:ascii="Times New Roman" w:hAnsi="Times New Roman" w:cs="Times New Roman"/>
          <w:sz w:val="23"/>
          <w:szCs w:val="23"/>
        </w:rPr>
      </w:pPr>
      <w:r w:rsidRPr="001C1245">
        <w:rPr>
          <w:rFonts w:ascii="Times New Roman" w:hAnsi="Times New Roman" w:cs="Times New Roman"/>
          <w:sz w:val="23"/>
          <w:szCs w:val="23"/>
        </w:rPr>
        <w:t>Yamhill County Courthouse, Room 32</w:t>
      </w:r>
    </w:p>
    <w:p w:rsidR="00090501" w:rsidRPr="001C1245" w:rsidRDefault="00090501" w:rsidP="00090501">
      <w:pPr>
        <w:spacing w:line="254" w:lineRule="atLeast"/>
        <w:jc w:val="center"/>
        <w:rPr>
          <w:rFonts w:ascii="Times New Roman" w:hAnsi="Times New Roman" w:cs="Times New Roman"/>
          <w:sz w:val="23"/>
          <w:szCs w:val="23"/>
        </w:rPr>
      </w:pPr>
      <w:r w:rsidRPr="001C1245">
        <w:rPr>
          <w:rFonts w:ascii="Times New Roman" w:hAnsi="Times New Roman" w:cs="Times New Roman"/>
          <w:sz w:val="23"/>
          <w:szCs w:val="23"/>
        </w:rPr>
        <w:t>535 E. Fifth Street</w:t>
      </w:r>
    </w:p>
    <w:p w:rsidR="00FF2C58" w:rsidRDefault="002B0846">
      <w:pPr>
        <w:spacing w:line="254" w:lineRule="atLeast"/>
        <w:jc w:val="center"/>
        <w:rPr>
          <w:rFonts w:ascii="Times New Roman" w:hAnsi="Times New Roman" w:cs="Times New Roman"/>
          <w:sz w:val="23"/>
          <w:szCs w:val="23"/>
        </w:rPr>
      </w:pPr>
      <w:r>
        <w:rPr>
          <w:rFonts w:ascii="Times New Roman" w:hAnsi="Times New Roman" w:cs="Times New Roman"/>
          <w:sz w:val="23"/>
          <w:szCs w:val="23"/>
        </w:rPr>
        <w:t>McMinnville, Oregon</w:t>
      </w:r>
    </w:p>
    <w:p w:rsidR="00FF2C58" w:rsidRDefault="00FF2C58">
      <w:pPr>
        <w:spacing w:line="254" w:lineRule="atLeast"/>
        <w:jc w:val="both"/>
        <w:rPr>
          <w:rFonts w:ascii="Times New Roman" w:hAnsi="Times New Roman" w:cs="Times New Roman"/>
          <w:sz w:val="22"/>
          <w:szCs w:val="22"/>
        </w:rPr>
      </w:pPr>
    </w:p>
    <w:p w:rsidR="00B23A31" w:rsidRDefault="002B0846">
      <w:pPr>
        <w:spacing w:line="254" w:lineRule="atLeast"/>
        <w:jc w:val="both"/>
        <w:rPr>
          <w:rFonts w:ascii="Times New Roman" w:hAnsi="Times New Roman" w:cs="Times New Roman"/>
          <w:sz w:val="22"/>
          <w:szCs w:val="22"/>
        </w:rPr>
      </w:pPr>
      <w:r>
        <w:rPr>
          <w:rFonts w:ascii="Times New Roman" w:hAnsi="Times New Roman" w:cs="Times New Roman"/>
          <w:sz w:val="22"/>
          <w:szCs w:val="22"/>
        </w:rPr>
        <w:tab/>
        <w:t xml:space="preserve">The YAMHILL COUNTY BOARD OF COMMISSIONERS will </w:t>
      </w:r>
      <w:r w:rsidR="001C1245">
        <w:rPr>
          <w:rFonts w:ascii="Times New Roman" w:hAnsi="Times New Roman" w:cs="Times New Roman"/>
          <w:sz w:val="22"/>
          <w:szCs w:val="22"/>
        </w:rPr>
        <w:t>meet at the above time and place to reopen the record on remand by the Land Use Board of Appeals</w:t>
      </w:r>
      <w:r w:rsidR="008544A6">
        <w:rPr>
          <w:rFonts w:ascii="Times New Roman" w:hAnsi="Times New Roman" w:cs="Times New Roman"/>
          <w:sz w:val="22"/>
          <w:szCs w:val="22"/>
        </w:rPr>
        <w:t xml:space="preserve"> (LUBA)</w:t>
      </w:r>
      <w:r w:rsidR="004F0F8F">
        <w:rPr>
          <w:rFonts w:ascii="Times New Roman" w:hAnsi="Times New Roman" w:cs="Times New Roman"/>
          <w:sz w:val="22"/>
          <w:szCs w:val="22"/>
        </w:rPr>
        <w:t>,</w:t>
      </w:r>
      <w:r w:rsidR="001C1245">
        <w:rPr>
          <w:rFonts w:ascii="Times New Roman" w:hAnsi="Times New Roman" w:cs="Times New Roman"/>
          <w:sz w:val="22"/>
          <w:szCs w:val="22"/>
        </w:rPr>
        <w:t xml:space="preserve"> of </w:t>
      </w:r>
      <w:r w:rsidR="008544A6">
        <w:rPr>
          <w:rFonts w:ascii="Times New Roman" w:hAnsi="Times New Roman" w:cs="Times New Roman"/>
          <w:sz w:val="22"/>
          <w:szCs w:val="22"/>
        </w:rPr>
        <w:t>Board Order 15-115.  Board Order 15-115</w:t>
      </w:r>
      <w:r w:rsidR="001C1245">
        <w:rPr>
          <w:rFonts w:ascii="Times New Roman" w:hAnsi="Times New Roman" w:cs="Times New Roman"/>
          <w:sz w:val="22"/>
          <w:szCs w:val="22"/>
        </w:rPr>
        <w:t xml:space="preserve"> approved Site Design and Floodplain permits to allow a limited expansion of </w:t>
      </w:r>
      <w:proofErr w:type="spellStart"/>
      <w:r w:rsidR="001C1245">
        <w:rPr>
          <w:rFonts w:ascii="Times New Roman" w:hAnsi="Times New Roman" w:cs="Times New Roman"/>
          <w:sz w:val="22"/>
          <w:szCs w:val="22"/>
        </w:rPr>
        <w:t>Riverbend</w:t>
      </w:r>
      <w:proofErr w:type="spellEnd"/>
      <w:r w:rsidR="001C1245">
        <w:rPr>
          <w:rFonts w:ascii="Times New Roman" w:hAnsi="Times New Roman" w:cs="Times New Roman"/>
          <w:sz w:val="22"/>
          <w:szCs w:val="22"/>
        </w:rPr>
        <w:t xml:space="preserve"> Landfill.  </w:t>
      </w:r>
      <w:r>
        <w:rPr>
          <w:rFonts w:ascii="Times New Roman" w:hAnsi="Times New Roman" w:cs="Times New Roman"/>
          <w:sz w:val="22"/>
          <w:szCs w:val="22"/>
        </w:rPr>
        <w:t>The matter may be heard later than the time indicated, depending on the agenda schedule</w:t>
      </w:r>
      <w:r w:rsidRPr="001C1245">
        <w:rPr>
          <w:rFonts w:ascii="Times New Roman" w:hAnsi="Times New Roman" w:cs="Times New Roman"/>
          <w:sz w:val="22"/>
          <w:szCs w:val="22"/>
        </w:rPr>
        <w:t xml:space="preserve">.  </w:t>
      </w:r>
      <w:r w:rsidRPr="001C1245">
        <w:rPr>
          <w:rFonts w:ascii="Times New Roman" w:hAnsi="Times New Roman" w:cs="Times New Roman"/>
          <w:b/>
          <w:sz w:val="22"/>
          <w:szCs w:val="22"/>
          <w:u w:val="single"/>
        </w:rPr>
        <w:t xml:space="preserve">Interested parties are invited to send written comment within the scope of the remand described below </w:t>
      </w:r>
      <w:r w:rsidR="005A23FF">
        <w:rPr>
          <w:rFonts w:ascii="Times New Roman" w:hAnsi="Times New Roman" w:cs="Times New Roman"/>
          <w:b/>
          <w:sz w:val="22"/>
          <w:szCs w:val="22"/>
          <w:u w:val="single"/>
        </w:rPr>
        <w:t xml:space="preserve">to the Planning Department </w:t>
      </w:r>
      <w:r w:rsidRPr="001C1245">
        <w:rPr>
          <w:rFonts w:ascii="Times New Roman" w:hAnsi="Times New Roman" w:cs="Times New Roman"/>
          <w:b/>
          <w:sz w:val="22"/>
          <w:szCs w:val="22"/>
          <w:u w:val="single"/>
        </w:rPr>
        <w:t>prior to the hearing</w:t>
      </w:r>
      <w:r w:rsidR="001C1245">
        <w:rPr>
          <w:rFonts w:ascii="Times New Roman" w:hAnsi="Times New Roman" w:cs="Times New Roman"/>
          <w:b/>
          <w:sz w:val="22"/>
          <w:szCs w:val="22"/>
          <w:u w:val="single"/>
        </w:rPr>
        <w:t>,</w:t>
      </w:r>
      <w:r w:rsidRPr="001C1245">
        <w:rPr>
          <w:rFonts w:ascii="Times New Roman" w:hAnsi="Times New Roman" w:cs="Times New Roman"/>
          <w:b/>
          <w:sz w:val="22"/>
          <w:szCs w:val="22"/>
          <w:u w:val="single"/>
        </w:rPr>
        <w:t xml:space="preserve"> or may deliver written comments </w:t>
      </w:r>
      <w:r w:rsidR="001C1245">
        <w:rPr>
          <w:rFonts w:ascii="Times New Roman" w:hAnsi="Times New Roman" w:cs="Times New Roman"/>
          <w:b/>
          <w:sz w:val="22"/>
          <w:szCs w:val="22"/>
          <w:u w:val="single"/>
        </w:rPr>
        <w:t xml:space="preserve">to the Board for submittal into the record, </w:t>
      </w:r>
      <w:r w:rsidRPr="001C1245">
        <w:rPr>
          <w:rFonts w:ascii="Times New Roman" w:hAnsi="Times New Roman" w:cs="Times New Roman"/>
          <w:b/>
          <w:sz w:val="22"/>
          <w:szCs w:val="22"/>
          <w:u w:val="single"/>
        </w:rPr>
        <w:t>at the hearing.  The Board will not be taking live</w:t>
      </w:r>
      <w:r w:rsidR="001C1245">
        <w:rPr>
          <w:rFonts w:ascii="Times New Roman" w:hAnsi="Times New Roman" w:cs="Times New Roman"/>
          <w:b/>
          <w:sz w:val="22"/>
          <w:szCs w:val="22"/>
          <w:u w:val="single"/>
        </w:rPr>
        <w:t>/oral</w:t>
      </w:r>
      <w:r w:rsidRPr="001C1245">
        <w:rPr>
          <w:rFonts w:ascii="Times New Roman" w:hAnsi="Times New Roman" w:cs="Times New Roman"/>
          <w:b/>
          <w:sz w:val="22"/>
          <w:szCs w:val="22"/>
          <w:u w:val="single"/>
        </w:rPr>
        <w:t xml:space="preserve"> testimony</w:t>
      </w:r>
      <w:r w:rsidR="00B23A31">
        <w:rPr>
          <w:rFonts w:ascii="Times New Roman" w:hAnsi="Times New Roman" w:cs="Times New Roman"/>
          <w:b/>
          <w:sz w:val="22"/>
          <w:szCs w:val="22"/>
          <w:u w:val="single"/>
        </w:rPr>
        <w:t xml:space="preserve"> on this matter</w:t>
      </w:r>
      <w:r w:rsidRPr="001C1245">
        <w:rPr>
          <w:rFonts w:ascii="Times New Roman" w:hAnsi="Times New Roman" w:cs="Times New Roman"/>
          <w:sz w:val="22"/>
          <w:szCs w:val="22"/>
        </w:rPr>
        <w:t>.</w:t>
      </w:r>
      <w:r>
        <w:rPr>
          <w:rFonts w:ascii="Times New Roman" w:hAnsi="Times New Roman" w:cs="Times New Roman"/>
          <w:sz w:val="22"/>
          <w:szCs w:val="22"/>
        </w:rPr>
        <w:t xml:space="preserve"> </w:t>
      </w:r>
      <w:r w:rsidR="00B23A31">
        <w:rPr>
          <w:rFonts w:ascii="Times New Roman" w:hAnsi="Times New Roman" w:cs="Times New Roman"/>
          <w:sz w:val="22"/>
          <w:szCs w:val="22"/>
        </w:rPr>
        <w:t xml:space="preserve"> </w:t>
      </w:r>
      <w:r w:rsidR="004D1A52">
        <w:rPr>
          <w:rFonts w:ascii="Times New Roman" w:hAnsi="Times New Roman" w:cs="Times New Roman"/>
          <w:sz w:val="22"/>
          <w:szCs w:val="22"/>
        </w:rPr>
        <w:t xml:space="preserve">The address of the Planning Department is 525 NE Fourth Street, McMinnville, Oregon 97128, or comments may be submitted to FridayK@co.yamhill.or.us.  </w:t>
      </w:r>
      <w:r w:rsidR="00B23A31">
        <w:rPr>
          <w:rFonts w:ascii="Times New Roman" w:hAnsi="Times New Roman" w:cs="Times New Roman"/>
          <w:sz w:val="22"/>
          <w:szCs w:val="22"/>
        </w:rPr>
        <w:t>Following its opening of the record and its receipt of written testimony and evidence on February 4, the Board may keep the rec</w:t>
      </w:r>
      <w:bookmarkStart w:id="0" w:name="_GoBack"/>
      <w:bookmarkEnd w:id="0"/>
      <w:r w:rsidR="00B23A31">
        <w:rPr>
          <w:rFonts w:ascii="Times New Roman" w:hAnsi="Times New Roman" w:cs="Times New Roman"/>
          <w:sz w:val="22"/>
          <w:szCs w:val="22"/>
        </w:rPr>
        <w:t xml:space="preserve">ord open for the receipt of </w:t>
      </w:r>
      <w:r w:rsidR="003E001F">
        <w:rPr>
          <w:rFonts w:ascii="Times New Roman" w:hAnsi="Times New Roman" w:cs="Times New Roman"/>
          <w:sz w:val="22"/>
          <w:szCs w:val="22"/>
        </w:rPr>
        <w:t xml:space="preserve">written </w:t>
      </w:r>
      <w:r w:rsidR="00B23A31">
        <w:rPr>
          <w:rFonts w:ascii="Times New Roman" w:hAnsi="Times New Roman" w:cs="Times New Roman"/>
          <w:sz w:val="22"/>
          <w:szCs w:val="22"/>
        </w:rPr>
        <w:t xml:space="preserve">rebuttal testimony, and will continue the matter to a later date to deliberate and make a decision regarding the remand.  </w:t>
      </w:r>
    </w:p>
    <w:p w:rsidR="00FF2C58" w:rsidRDefault="00B23A31">
      <w:pPr>
        <w:spacing w:line="254" w:lineRule="atLeast"/>
        <w:jc w:val="both"/>
        <w:rPr>
          <w:rFonts w:ascii="Times New Roman" w:hAnsi="Times New Roman" w:cs="Times New Roman"/>
          <w:sz w:val="22"/>
          <w:szCs w:val="22"/>
        </w:rPr>
      </w:pPr>
      <w:r>
        <w:rPr>
          <w:rFonts w:ascii="Times New Roman" w:hAnsi="Times New Roman" w:cs="Times New Roman"/>
          <w:sz w:val="22"/>
          <w:szCs w:val="22"/>
        </w:rPr>
        <w:tab/>
      </w:r>
      <w:r w:rsidR="002B0846">
        <w:rPr>
          <w:rFonts w:ascii="Times New Roman" w:hAnsi="Times New Roman" w:cs="Times New Roman"/>
          <w:sz w:val="22"/>
          <w:szCs w:val="22"/>
        </w:rPr>
        <w:t xml:space="preserve">All issues and concerns </w:t>
      </w:r>
      <w:r w:rsidR="008544A6">
        <w:rPr>
          <w:rFonts w:ascii="Times New Roman" w:hAnsi="Times New Roman" w:cs="Times New Roman"/>
          <w:sz w:val="22"/>
          <w:szCs w:val="22"/>
        </w:rPr>
        <w:t xml:space="preserve">within the scope of the remand must be raised in writing before the hearing or prior to the close </w:t>
      </w:r>
      <w:r w:rsidR="00267D52">
        <w:rPr>
          <w:rFonts w:ascii="Times New Roman" w:hAnsi="Times New Roman" w:cs="Times New Roman"/>
          <w:sz w:val="22"/>
          <w:szCs w:val="22"/>
        </w:rPr>
        <w:t>of the hearing on February 4.</w:t>
      </w:r>
      <w:r w:rsidR="002B0846">
        <w:rPr>
          <w:rFonts w:ascii="Times New Roman" w:hAnsi="Times New Roman" w:cs="Times New Roman"/>
          <w:sz w:val="22"/>
          <w:szCs w:val="22"/>
        </w:rPr>
        <w:t xml:space="preserve">  Failure to raise an issue </w:t>
      </w:r>
      <w:r w:rsidR="00267D52">
        <w:rPr>
          <w:rFonts w:ascii="Times New Roman" w:hAnsi="Times New Roman" w:cs="Times New Roman"/>
          <w:sz w:val="22"/>
          <w:szCs w:val="22"/>
        </w:rPr>
        <w:t>regarding the remand, by submittal of written testimony prior to or at the hearing</w:t>
      </w:r>
      <w:r w:rsidR="002B0846">
        <w:rPr>
          <w:rFonts w:ascii="Times New Roman" w:hAnsi="Times New Roman" w:cs="Times New Roman"/>
          <w:sz w:val="22"/>
          <w:szCs w:val="22"/>
        </w:rPr>
        <w:t xml:space="preserve"> or failure to provide statements or evidence sufficient to allow an opportunity to respond to the issue, precludes an affected party's appeal of the decision to the Land Use Board of Appeals on that issue.</w:t>
      </w:r>
    </w:p>
    <w:p w:rsidR="00FF2C58" w:rsidRDefault="002B0846">
      <w:pPr>
        <w:spacing w:line="254" w:lineRule="atLeast"/>
        <w:jc w:val="both"/>
        <w:rPr>
          <w:rFonts w:ascii="Times New Roman" w:hAnsi="Times New Roman" w:cs="Times New Roman"/>
          <w:sz w:val="22"/>
          <w:szCs w:val="22"/>
        </w:rPr>
      </w:pPr>
      <w:r>
        <w:rPr>
          <w:rFonts w:ascii="Times New Roman" w:hAnsi="Times New Roman" w:cs="Times New Roman"/>
          <w:sz w:val="22"/>
          <w:szCs w:val="22"/>
        </w:rPr>
        <w:tab/>
        <w:t>The application, all documents, and evidence submitted by or on behalf of the applicant and other parties, as well as the applicable criteria, are available for inspection, and copies may be purchased at a reasonable cost.  A staff report will be available for inspection at no cost seven days prior to the hearing, and copies will be available for purchase at a reasonable cost.  The location of the hearing is accessible to persons with disabilities.  Please call the Board of Commissioner’s office (503) 434-7501, if you will need any special accommodations to attend or participate in the meeting.</w:t>
      </w:r>
      <w:r w:rsidR="007700CD">
        <w:rPr>
          <w:rFonts w:ascii="Times New Roman" w:hAnsi="Times New Roman" w:cs="Times New Roman"/>
          <w:sz w:val="22"/>
          <w:szCs w:val="22"/>
        </w:rPr>
        <w:t xml:space="preserve"> </w:t>
      </w:r>
      <w:r>
        <w:rPr>
          <w:rFonts w:ascii="Times New Roman" w:hAnsi="Times New Roman" w:cs="Times New Roman"/>
          <w:sz w:val="22"/>
          <w:szCs w:val="22"/>
        </w:rPr>
        <w:t xml:space="preserve"> For further information, contact Ken Friday at the Yamhill County Department of Planning and Development, 525 N.E. Fourth Street, McMinnville, 97128, or at (503) 434-7516.</w:t>
      </w:r>
    </w:p>
    <w:p w:rsidR="00FF2C58" w:rsidRDefault="00FF2C58">
      <w:pPr>
        <w:spacing w:line="254" w:lineRule="atLeast"/>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DOCKET NO.:</w:t>
      </w:r>
      <w:r>
        <w:rPr>
          <w:rFonts w:ascii="Times New Roman" w:hAnsi="Times New Roman" w:cs="Times New Roman"/>
          <w:sz w:val="22"/>
          <w:szCs w:val="22"/>
        </w:rPr>
        <w:tab/>
      </w:r>
      <w:r>
        <w:rPr>
          <w:rFonts w:ascii="Times New Roman" w:hAnsi="Times New Roman" w:cs="Times New Roman"/>
          <w:sz w:val="22"/>
          <w:szCs w:val="22"/>
        </w:rPr>
        <w:tab/>
        <w:t>SDR-16-14/FP-03-14 (remand)</w:t>
      </w:r>
    </w:p>
    <w:p w:rsidR="00FF2C58" w:rsidRDefault="00FF2C58">
      <w:pPr>
        <w:spacing w:line="254" w:lineRule="atLeast"/>
        <w:jc w:val="both"/>
        <w:rPr>
          <w:rFonts w:ascii="Times New Roman" w:hAnsi="Times New Roman" w:cs="Times New Roman"/>
          <w:sz w:val="22"/>
          <w:szCs w:val="22"/>
        </w:rPr>
      </w:pPr>
    </w:p>
    <w:p w:rsidR="00FF2C58" w:rsidRDefault="002B0846" w:rsidP="009B2914">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REQUEST:</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009B2914">
        <w:rPr>
          <w:rFonts w:ascii="Times New Roman" w:hAnsi="Times New Roman" w:cs="Times New Roman"/>
          <w:sz w:val="22"/>
          <w:szCs w:val="22"/>
        </w:rPr>
        <w:tab/>
      </w:r>
      <w:r>
        <w:rPr>
          <w:rFonts w:ascii="Times New Roman" w:hAnsi="Times New Roman" w:cs="Times New Roman"/>
          <w:sz w:val="22"/>
          <w:szCs w:val="22"/>
        </w:rPr>
        <w:t xml:space="preserve">Consideration on remand of an expansion of </w:t>
      </w:r>
      <w:proofErr w:type="spellStart"/>
      <w:r>
        <w:rPr>
          <w:rFonts w:ascii="Times New Roman" w:hAnsi="Times New Roman" w:cs="Times New Roman"/>
          <w:sz w:val="22"/>
          <w:szCs w:val="22"/>
        </w:rPr>
        <w:t>Riverbend</w:t>
      </w:r>
      <w:proofErr w:type="spellEnd"/>
      <w:r>
        <w:rPr>
          <w:rFonts w:ascii="Times New Roman" w:hAnsi="Times New Roman" w:cs="Times New Roman"/>
          <w:sz w:val="22"/>
          <w:szCs w:val="22"/>
        </w:rPr>
        <w:t xml:space="preserve"> Landfill.  The original application was for a site design review for the development of 37 acres proposed for landfill expansion and ancillary facilities.  The expansion of the landfill is permitted within the existing zone under Subsection 402.02(V) of the Yamhill County Zoning Ordinance.  The request includes a floodplain development permit to allow for the placement of an earthen berm, a portion of which is in the floodplain.  The Land Use Board of Appeals remanded the County’s decision approving the request (with conditions), as set forth in Board Order 15-115, for the express purpose of addressing issues relating to ORS 215.296.    </w:t>
      </w:r>
    </w:p>
    <w:p w:rsidR="00FF2C58" w:rsidRDefault="002B084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4" w:lineRule="atLeast"/>
        <w:ind w:left="8583" w:hanging="5760"/>
        <w:jc w:val="both"/>
        <w:rPr>
          <w:rFonts w:ascii="Times New Roman" w:hAnsi="Times New Roman" w:cs="Times New Roman"/>
          <w:sz w:val="22"/>
          <w:szCs w:val="22"/>
        </w:rPr>
      </w:pPr>
      <w:r>
        <w:rPr>
          <w:rFonts w:ascii="Times New Roman" w:hAnsi="Times New Roman" w:cs="Times New Roman"/>
          <w:sz w:val="22"/>
          <w:szCs w:val="22"/>
        </w:rPr>
        <w:tab/>
      </w: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APPLICANT: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Riverbend</w:t>
      </w:r>
      <w:proofErr w:type="spellEnd"/>
      <w:r>
        <w:rPr>
          <w:rFonts w:ascii="Times New Roman" w:hAnsi="Times New Roman" w:cs="Times New Roman"/>
          <w:sz w:val="22"/>
          <w:szCs w:val="22"/>
        </w:rPr>
        <w:t xml:space="preserve"> Landfill Co.</w:t>
      </w: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sz w:val="22"/>
          <w:szCs w:val="22"/>
        </w:rPr>
        <w:tab/>
      </w: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TAX LOTS: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5501-101, -200, -400 and -401</w:t>
      </w:r>
    </w:p>
    <w:p w:rsidR="00FF2C58" w:rsidRDefault="00FF2C58">
      <w:pPr>
        <w:spacing w:line="254" w:lineRule="atLeast"/>
        <w:jc w:val="both"/>
        <w:rPr>
          <w:rFonts w:ascii="Times New Roman" w:hAnsi="Times New Roman" w:cs="Times New Roman"/>
          <w:sz w:val="22"/>
          <w:szCs w:val="22"/>
        </w:rPr>
      </w:pPr>
    </w:p>
    <w:p w:rsidR="009B2914" w:rsidRDefault="009B2914">
      <w:pPr>
        <w:spacing w:line="254" w:lineRule="atLeast"/>
        <w:jc w:val="both"/>
        <w:rPr>
          <w:rFonts w:ascii="Times New Roman" w:hAnsi="Times New Roman" w:cs="Times New Roman"/>
          <w:sz w:val="22"/>
          <w:szCs w:val="22"/>
        </w:rPr>
      </w:pPr>
    </w:p>
    <w:p w:rsidR="009B2914" w:rsidRDefault="009B2914">
      <w:pPr>
        <w:spacing w:line="254" w:lineRule="atLeast"/>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LOCATION: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13469 SW </w:t>
      </w:r>
      <w:proofErr w:type="gramStart"/>
      <w:r>
        <w:rPr>
          <w:rFonts w:ascii="Times New Roman" w:hAnsi="Times New Roman" w:cs="Times New Roman"/>
          <w:sz w:val="22"/>
          <w:szCs w:val="22"/>
        </w:rPr>
        <w:t>Highway</w:t>
      </w:r>
      <w:proofErr w:type="gramEnd"/>
      <w:r>
        <w:rPr>
          <w:rFonts w:ascii="Times New Roman" w:hAnsi="Times New Roman" w:cs="Times New Roman"/>
          <w:sz w:val="22"/>
          <w:szCs w:val="22"/>
        </w:rPr>
        <w:t xml:space="preserve"> 18, McMinnville, Oregon</w:t>
      </w:r>
    </w:p>
    <w:p w:rsidR="00FF2C58" w:rsidRDefault="002B0846">
      <w:pPr>
        <w:spacing w:line="254" w:lineRule="atLeast"/>
        <w:ind w:left="2103" w:firstLine="720"/>
        <w:jc w:val="both"/>
        <w:rPr>
          <w:rFonts w:ascii="Times New Roman" w:hAnsi="Times New Roman" w:cs="Times New Roman"/>
          <w:sz w:val="22"/>
          <w:szCs w:val="22"/>
        </w:rPr>
      </w:pPr>
      <w:r>
        <w:rPr>
          <w:rFonts w:ascii="Times New Roman" w:hAnsi="Times New Roman" w:cs="Times New Roman"/>
          <w:sz w:val="22"/>
          <w:szCs w:val="22"/>
        </w:rPr>
        <w:t xml:space="preserve">13475 SW </w:t>
      </w:r>
      <w:proofErr w:type="gramStart"/>
      <w:r>
        <w:rPr>
          <w:rFonts w:ascii="Times New Roman" w:hAnsi="Times New Roman" w:cs="Times New Roman"/>
          <w:sz w:val="22"/>
          <w:szCs w:val="22"/>
        </w:rPr>
        <w:t>Highway</w:t>
      </w:r>
      <w:proofErr w:type="gramEnd"/>
      <w:r>
        <w:rPr>
          <w:rFonts w:ascii="Times New Roman" w:hAnsi="Times New Roman" w:cs="Times New Roman"/>
          <w:sz w:val="22"/>
          <w:szCs w:val="22"/>
        </w:rPr>
        <w:t xml:space="preserve"> 18, McMinnville, Oregon</w:t>
      </w:r>
    </w:p>
    <w:p w:rsidR="00FF2C58" w:rsidRDefault="002B0846">
      <w:pPr>
        <w:tabs>
          <w:tab w:val="left" w:pos="720"/>
          <w:tab w:val="left" w:pos="1440"/>
          <w:tab w:val="left" w:pos="2160"/>
          <w:tab w:val="left" w:pos="2880"/>
          <w:tab w:val="left" w:pos="3600"/>
          <w:tab w:val="left" w:pos="4320"/>
          <w:tab w:val="left" w:pos="5040"/>
          <w:tab w:val="left" w:pos="5760"/>
          <w:tab w:val="left" w:pos="6480"/>
        </w:tabs>
        <w:spacing w:line="254" w:lineRule="atLeast"/>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B2914">
        <w:rPr>
          <w:rFonts w:ascii="Times New Roman" w:hAnsi="Times New Roman" w:cs="Times New Roman"/>
          <w:sz w:val="22"/>
          <w:szCs w:val="22"/>
        </w:rPr>
        <w:tab/>
      </w:r>
      <w:r>
        <w:rPr>
          <w:rFonts w:ascii="Times New Roman" w:hAnsi="Times New Roman" w:cs="Times New Roman"/>
          <w:sz w:val="22"/>
          <w:szCs w:val="22"/>
        </w:rPr>
        <w:t xml:space="preserve">13965 SW </w:t>
      </w:r>
      <w:proofErr w:type="gramStart"/>
      <w:r>
        <w:rPr>
          <w:rFonts w:ascii="Times New Roman" w:hAnsi="Times New Roman" w:cs="Times New Roman"/>
          <w:sz w:val="22"/>
          <w:szCs w:val="22"/>
        </w:rPr>
        <w:t>Highway</w:t>
      </w:r>
      <w:proofErr w:type="gramEnd"/>
      <w:r>
        <w:rPr>
          <w:rFonts w:ascii="Times New Roman" w:hAnsi="Times New Roman" w:cs="Times New Roman"/>
          <w:sz w:val="22"/>
          <w:szCs w:val="22"/>
        </w:rPr>
        <w:t xml:space="preserve"> 18, McMinnville, Oregon</w:t>
      </w:r>
      <w:r>
        <w:rPr>
          <w:rFonts w:ascii="Times New Roman" w:hAnsi="Times New Roman" w:cs="Times New Roman"/>
          <w:sz w:val="22"/>
          <w:szCs w:val="22"/>
        </w:rPr>
        <w:tab/>
      </w:r>
    </w:p>
    <w:p w:rsidR="00FF2C58" w:rsidRDefault="002B0846">
      <w:pPr>
        <w:spacing w:line="254" w:lineRule="atLeast"/>
        <w:ind w:left="2103" w:firstLine="720"/>
        <w:jc w:val="both"/>
        <w:rPr>
          <w:rFonts w:ascii="Times New Roman" w:hAnsi="Times New Roman" w:cs="Times New Roman"/>
          <w:sz w:val="22"/>
          <w:szCs w:val="22"/>
        </w:rPr>
      </w:pPr>
      <w:r>
        <w:rPr>
          <w:rFonts w:ascii="Times New Roman" w:hAnsi="Times New Roman" w:cs="Times New Roman"/>
          <w:sz w:val="22"/>
          <w:szCs w:val="22"/>
        </w:rPr>
        <w:t xml:space="preserve">14325 SW </w:t>
      </w:r>
      <w:proofErr w:type="gramStart"/>
      <w:r>
        <w:rPr>
          <w:rFonts w:ascii="Times New Roman" w:hAnsi="Times New Roman" w:cs="Times New Roman"/>
          <w:sz w:val="22"/>
          <w:szCs w:val="22"/>
        </w:rPr>
        <w:t>Highway</w:t>
      </w:r>
      <w:proofErr w:type="gramEnd"/>
      <w:r>
        <w:rPr>
          <w:rFonts w:ascii="Times New Roman" w:hAnsi="Times New Roman" w:cs="Times New Roman"/>
          <w:sz w:val="22"/>
          <w:szCs w:val="22"/>
        </w:rPr>
        <w:t xml:space="preserve"> 18, McMinnville, Oregon</w:t>
      </w:r>
    </w:p>
    <w:p w:rsidR="00FF2C58" w:rsidRDefault="00FF2C58">
      <w:pPr>
        <w:spacing w:line="254" w:lineRule="atLeast"/>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bCs/>
          <w:sz w:val="22"/>
          <w:szCs w:val="22"/>
        </w:rPr>
        <w:t>CRITERIA: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Section 402.02(V) of the Yamhill County Zoning Ordinance (YCZO); Oregon Revised Statute 215.296(1</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a) and (b).</w:t>
      </w:r>
    </w:p>
    <w:p w:rsidR="00FF2C58" w:rsidRDefault="00FF2C58">
      <w:pPr>
        <w:tabs>
          <w:tab w:val="left" w:pos="720"/>
          <w:tab w:val="left" w:pos="1440"/>
          <w:tab w:val="left" w:pos="2160"/>
        </w:tabs>
        <w:spacing w:line="254" w:lineRule="atLeast"/>
        <w:ind w:left="2823" w:hanging="2823"/>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b/>
          <w:sz w:val="22"/>
          <w:szCs w:val="22"/>
        </w:rPr>
        <w:t>SCOPE OF HEARING:</w:t>
      </w:r>
      <w:r>
        <w:rPr>
          <w:rFonts w:ascii="Times New Roman" w:hAnsi="Times New Roman" w:cs="Times New Roman"/>
          <w:b/>
          <w:sz w:val="22"/>
          <w:szCs w:val="22"/>
        </w:rPr>
        <w:tab/>
      </w:r>
      <w:r w:rsidR="00B23A31">
        <w:rPr>
          <w:rFonts w:ascii="Times New Roman" w:hAnsi="Times New Roman" w:cs="Times New Roman"/>
          <w:sz w:val="22"/>
          <w:szCs w:val="22"/>
        </w:rPr>
        <w:t>The limitations on this</w:t>
      </w:r>
      <w:r>
        <w:rPr>
          <w:rFonts w:ascii="Times New Roman" w:hAnsi="Times New Roman" w:cs="Times New Roman"/>
          <w:sz w:val="22"/>
          <w:szCs w:val="22"/>
        </w:rPr>
        <w:t xml:space="preserve"> page appl</w:t>
      </w:r>
      <w:r w:rsidR="00B23A31">
        <w:rPr>
          <w:rFonts w:ascii="Times New Roman" w:hAnsi="Times New Roman" w:cs="Times New Roman"/>
          <w:sz w:val="22"/>
          <w:szCs w:val="22"/>
        </w:rPr>
        <w:t>y to this limited remand proceeding</w:t>
      </w:r>
      <w:r>
        <w:rPr>
          <w:rFonts w:ascii="Times New Roman" w:hAnsi="Times New Roman" w:cs="Times New Roman"/>
          <w:sz w:val="22"/>
          <w:szCs w:val="22"/>
        </w:rPr>
        <w:t>.</w:t>
      </w:r>
    </w:p>
    <w:p w:rsidR="00FF2C58" w:rsidRDefault="00FF2C58">
      <w:pPr>
        <w:tabs>
          <w:tab w:val="left" w:pos="720"/>
          <w:tab w:val="left" w:pos="1440"/>
          <w:tab w:val="left" w:pos="2160"/>
        </w:tabs>
        <w:spacing w:line="254" w:lineRule="atLeast"/>
        <w:ind w:left="2823" w:hanging="2823"/>
        <w:jc w:val="both"/>
        <w:rPr>
          <w:rFonts w:ascii="Times New Roman" w:hAnsi="Times New Roman" w:cs="Times New Roman"/>
          <w:sz w:val="22"/>
          <w:szCs w:val="22"/>
        </w:rPr>
      </w:pPr>
    </w:p>
    <w:p w:rsidR="00FF2C58" w:rsidRDefault="002B0846" w:rsidP="000059FE">
      <w:pPr>
        <w:tabs>
          <w:tab w:val="left" w:pos="0"/>
          <w:tab w:val="left" w:pos="720"/>
          <w:tab w:val="left" w:pos="1440"/>
          <w:tab w:val="left" w:pos="2160"/>
        </w:tabs>
        <w:spacing w:line="254" w:lineRule="atLeast"/>
        <w:ind w:left="630"/>
        <w:jc w:val="both"/>
        <w:rPr>
          <w:rFonts w:ascii="Times New Roman" w:hAnsi="Times New Roman" w:cs="Times New Roman"/>
          <w:sz w:val="22"/>
          <w:szCs w:val="22"/>
        </w:rPr>
      </w:pPr>
      <w:r>
        <w:rPr>
          <w:rFonts w:ascii="Times New Roman" w:hAnsi="Times New Roman" w:cs="Times New Roman"/>
          <w:sz w:val="22"/>
          <w:szCs w:val="22"/>
        </w:rPr>
        <w:t xml:space="preserve">The hearing will be limited to accepting </w:t>
      </w:r>
      <w:r w:rsidRPr="003E001F">
        <w:rPr>
          <w:rFonts w:ascii="Times New Roman" w:hAnsi="Times New Roman" w:cs="Times New Roman"/>
          <w:sz w:val="22"/>
          <w:szCs w:val="22"/>
          <w:u w:val="single"/>
        </w:rPr>
        <w:t xml:space="preserve">written </w:t>
      </w:r>
      <w:r>
        <w:rPr>
          <w:rFonts w:ascii="Times New Roman" w:hAnsi="Times New Roman" w:cs="Times New Roman"/>
          <w:sz w:val="22"/>
          <w:szCs w:val="22"/>
          <w:u w:val="single"/>
        </w:rPr>
        <w:t>argument</w:t>
      </w:r>
      <w:r>
        <w:rPr>
          <w:rFonts w:ascii="Times New Roman" w:hAnsi="Times New Roman" w:cs="Times New Roman"/>
          <w:sz w:val="22"/>
          <w:szCs w:val="22"/>
        </w:rPr>
        <w:t xml:space="preserve"> only on the following issues and no new evidence will be accepted on these issues:</w:t>
      </w:r>
    </w:p>
    <w:p w:rsidR="00FF2C58" w:rsidRDefault="00FF2C58">
      <w:pPr>
        <w:tabs>
          <w:tab w:val="left" w:pos="720"/>
          <w:tab w:val="left" w:pos="1440"/>
          <w:tab w:val="left" w:pos="2160"/>
        </w:tabs>
        <w:spacing w:line="254" w:lineRule="atLeast"/>
        <w:ind w:left="2823" w:hanging="2823"/>
        <w:jc w:val="both"/>
        <w:rPr>
          <w:rFonts w:ascii="Times New Roman" w:hAnsi="Times New Roman" w:cs="Times New Roman"/>
          <w:sz w:val="22"/>
          <w:szCs w:val="22"/>
        </w:rPr>
      </w:pPr>
    </w:p>
    <w:p w:rsidR="00FF2C58" w:rsidRDefault="002B0846">
      <w:pPr>
        <w:pStyle w:val="ListParagraph"/>
        <w:numPr>
          <w:ilvl w:val="0"/>
          <w:numId w:val="1"/>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Whether existing evidence in the record demonstrates the presence or absence of significant impacts to farm practices (including the costs of those practices) in areas greater than one mile from the existing landfill and the proposed expansion area.</w:t>
      </w:r>
    </w:p>
    <w:p w:rsidR="00FF2C58" w:rsidRDefault="002B0846">
      <w:pPr>
        <w:pStyle w:val="ListParagraph"/>
        <w:numPr>
          <w:ilvl w:val="0"/>
          <w:numId w:val="1"/>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Whether existing evidence in the record that does not quantify or describe a degree of impact demonstrates the presence or absence of significant impacts to farm practices (including the costs of those practices) from the existing landfill and the proposed expansion area.</w:t>
      </w:r>
    </w:p>
    <w:p w:rsidR="00FF2C58" w:rsidRDefault="002B0846">
      <w:pPr>
        <w:pStyle w:val="ListParagraph"/>
        <w:numPr>
          <w:ilvl w:val="0"/>
          <w:numId w:val="1"/>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Whether the “Longitudinal Study” provided by the applicant as part of its initial Farm Impacts Assessment demonstrates the presence or absence of significant impacts to farm practices (including the costs of those practices) from the existing landfill and the proposed expansion area.</w:t>
      </w:r>
    </w:p>
    <w:p w:rsidR="00FF2C58" w:rsidRDefault="002B0846">
      <w:pPr>
        <w:pStyle w:val="ListParagraph"/>
        <w:numPr>
          <w:ilvl w:val="0"/>
          <w:numId w:val="1"/>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Whether existing evidence in the record relating to litter generated by the existing landfill, or expected to be generated by the proposed expanded landfill, demonstrates the presence or absence of significant impacts to farm practices (including the costs of those practices) from the existing landfill and the proposed expansion area.</w:t>
      </w:r>
    </w:p>
    <w:p w:rsidR="00FF2C58" w:rsidRDefault="002B0846">
      <w:pPr>
        <w:pStyle w:val="ListParagraph"/>
        <w:numPr>
          <w:ilvl w:val="0"/>
          <w:numId w:val="1"/>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 xml:space="preserve">Whether existing evidence in the record relating to a </w:t>
      </w:r>
      <w:proofErr w:type="spellStart"/>
      <w:r>
        <w:rPr>
          <w:rFonts w:ascii="Times New Roman" w:hAnsi="Times New Roman" w:cs="Times New Roman"/>
          <w:sz w:val="22"/>
          <w:szCs w:val="22"/>
        </w:rPr>
        <w:t>pheasantry</w:t>
      </w:r>
      <w:proofErr w:type="spellEnd"/>
      <w:r>
        <w:rPr>
          <w:rFonts w:ascii="Times New Roman" w:hAnsi="Times New Roman" w:cs="Times New Roman"/>
          <w:sz w:val="22"/>
          <w:szCs w:val="22"/>
        </w:rPr>
        <w:t xml:space="preserve"> located adjacent to the existing landfill demonstrates the presence or absence of significant impacts to </w:t>
      </w:r>
      <w:proofErr w:type="spellStart"/>
      <w:r>
        <w:rPr>
          <w:rFonts w:ascii="Times New Roman" w:hAnsi="Times New Roman" w:cs="Times New Roman"/>
          <w:sz w:val="22"/>
          <w:szCs w:val="22"/>
        </w:rPr>
        <w:t>pheasantry</w:t>
      </w:r>
      <w:proofErr w:type="spellEnd"/>
      <w:r>
        <w:rPr>
          <w:rFonts w:ascii="Times New Roman" w:hAnsi="Times New Roman" w:cs="Times New Roman"/>
          <w:sz w:val="22"/>
          <w:szCs w:val="22"/>
        </w:rPr>
        <w:t xml:space="preserve"> farm practices (including the costs of those practices). </w:t>
      </w:r>
    </w:p>
    <w:p w:rsidR="00FF2C58" w:rsidRDefault="00FF2C58">
      <w:pPr>
        <w:tabs>
          <w:tab w:val="left" w:pos="720"/>
          <w:tab w:val="left" w:pos="1440"/>
          <w:tab w:val="left" w:pos="2160"/>
        </w:tabs>
        <w:spacing w:line="254" w:lineRule="atLeast"/>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jc w:val="both"/>
        <w:rPr>
          <w:rFonts w:ascii="Times New Roman" w:hAnsi="Times New Roman" w:cs="Times New Roman"/>
          <w:sz w:val="22"/>
          <w:szCs w:val="22"/>
        </w:rPr>
      </w:pPr>
      <w:r>
        <w:rPr>
          <w:rFonts w:ascii="Times New Roman" w:hAnsi="Times New Roman" w:cs="Times New Roman"/>
          <w:sz w:val="22"/>
          <w:szCs w:val="22"/>
        </w:rPr>
        <w:tab/>
        <w:t xml:space="preserve">The hearing will be limited to accepting </w:t>
      </w:r>
      <w:r w:rsidR="00090501">
        <w:rPr>
          <w:rFonts w:ascii="Times New Roman" w:hAnsi="Times New Roman" w:cs="Times New Roman"/>
          <w:sz w:val="22"/>
          <w:szCs w:val="22"/>
          <w:u w:val="single"/>
        </w:rPr>
        <w:t xml:space="preserve">new </w:t>
      </w:r>
      <w:r w:rsidR="00B23A31">
        <w:rPr>
          <w:rFonts w:ascii="Times New Roman" w:hAnsi="Times New Roman" w:cs="Times New Roman"/>
          <w:sz w:val="22"/>
          <w:szCs w:val="22"/>
          <w:u w:val="single"/>
        </w:rPr>
        <w:t xml:space="preserve">written </w:t>
      </w:r>
      <w:r w:rsidR="00090501">
        <w:rPr>
          <w:rFonts w:ascii="Times New Roman" w:hAnsi="Times New Roman" w:cs="Times New Roman"/>
          <w:sz w:val="22"/>
          <w:szCs w:val="22"/>
          <w:u w:val="single"/>
        </w:rPr>
        <w:t xml:space="preserve">evidence </w:t>
      </w:r>
      <w:r w:rsidR="00B23A31">
        <w:rPr>
          <w:rFonts w:ascii="Times New Roman" w:hAnsi="Times New Roman" w:cs="Times New Roman"/>
          <w:sz w:val="22"/>
          <w:szCs w:val="22"/>
          <w:u w:val="single"/>
        </w:rPr>
        <w:t>and</w:t>
      </w:r>
      <w:r w:rsidRPr="00B23A31">
        <w:rPr>
          <w:rFonts w:ascii="Times New Roman" w:hAnsi="Times New Roman" w:cs="Times New Roman"/>
          <w:sz w:val="22"/>
          <w:szCs w:val="22"/>
          <w:u w:val="single"/>
        </w:rPr>
        <w:t xml:space="preserve"> </w:t>
      </w:r>
      <w:r>
        <w:rPr>
          <w:rFonts w:ascii="Times New Roman" w:hAnsi="Times New Roman" w:cs="Times New Roman"/>
          <w:sz w:val="22"/>
          <w:szCs w:val="22"/>
          <w:u w:val="single"/>
        </w:rPr>
        <w:t>written argument</w:t>
      </w:r>
      <w:r>
        <w:rPr>
          <w:rFonts w:ascii="Times New Roman" w:hAnsi="Times New Roman" w:cs="Times New Roman"/>
          <w:sz w:val="22"/>
          <w:szCs w:val="22"/>
        </w:rPr>
        <w:t xml:space="preserve"> on the following issues:</w:t>
      </w:r>
    </w:p>
    <w:p w:rsidR="00FF2C58" w:rsidRDefault="00FF2C58">
      <w:pPr>
        <w:tabs>
          <w:tab w:val="left" w:pos="720"/>
          <w:tab w:val="left" w:pos="1440"/>
          <w:tab w:val="left" w:pos="2160"/>
        </w:tabs>
        <w:spacing w:line="254" w:lineRule="atLeast"/>
        <w:jc w:val="both"/>
        <w:rPr>
          <w:rFonts w:ascii="Times New Roman" w:hAnsi="Times New Roman" w:cs="Times New Roman"/>
          <w:sz w:val="22"/>
          <w:szCs w:val="22"/>
        </w:rPr>
      </w:pPr>
    </w:p>
    <w:p w:rsidR="00FF2C58" w:rsidRDefault="002B0846">
      <w:pPr>
        <w:pStyle w:val="ListParagraph"/>
        <w:numPr>
          <w:ilvl w:val="0"/>
          <w:numId w:val="2"/>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Whether the existing landfill or proposed expansion have caused or will cause significant impacts to accepted farm practices (including the costs of those practices) relating to the direct sales of cherries and berries on Tax Lot R5502-700.</w:t>
      </w:r>
    </w:p>
    <w:p w:rsidR="00FF2C58" w:rsidRDefault="002B0846">
      <w:pPr>
        <w:pStyle w:val="ListParagraph"/>
        <w:numPr>
          <w:ilvl w:val="0"/>
          <w:numId w:val="2"/>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 xml:space="preserve">Whether the existing landfill or proposed expansion have caused or will cause significant impacts to </w:t>
      </w:r>
      <w:proofErr w:type="gramStart"/>
      <w:r>
        <w:rPr>
          <w:rFonts w:ascii="Times New Roman" w:hAnsi="Times New Roman" w:cs="Times New Roman"/>
          <w:sz w:val="22"/>
          <w:szCs w:val="22"/>
        </w:rPr>
        <w:t>accepted</w:t>
      </w:r>
      <w:proofErr w:type="gramEnd"/>
      <w:r>
        <w:rPr>
          <w:rFonts w:ascii="Times New Roman" w:hAnsi="Times New Roman" w:cs="Times New Roman"/>
          <w:sz w:val="22"/>
          <w:szCs w:val="22"/>
        </w:rPr>
        <w:t xml:space="preserve"> farm practices (including the costs of those practices) relating to the farm stand located on Tax Lot R5511-200. </w:t>
      </w:r>
    </w:p>
    <w:p w:rsidR="00FF2C58" w:rsidRDefault="002B0846">
      <w:pPr>
        <w:pStyle w:val="ListParagraph"/>
        <w:numPr>
          <w:ilvl w:val="0"/>
          <w:numId w:val="2"/>
        </w:numPr>
        <w:tabs>
          <w:tab w:val="left" w:pos="720"/>
          <w:tab w:val="left" w:pos="1440"/>
          <w:tab w:val="left" w:pos="2160"/>
        </w:tabs>
        <w:spacing w:line="254" w:lineRule="atLeast"/>
        <w:ind w:left="990"/>
        <w:jc w:val="both"/>
        <w:rPr>
          <w:rFonts w:ascii="Times New Roman" w:hAnsi="Times New Roman" w:cs="Times New Roman"/>
          <w:sz w:val="22"/>
          <w:szCs w:val="22"/>
        </w:rPr>
      </w:pPr>
      <w:r>
        <w:rPr>
          <w:rFonts w:ascii="Times New Roman" w:hAnsi="Times New Roman" w:cs="Times New Roman"/>
          <w:sz w:val="22"/>
          <w:szCs w:val="22"/>
        </w:rPr>
        <w:t>The feasibility and effectiveness of nuisance bird control measures available for use in rural areas.</w:t>
      </w:r>
    </w:p>
    <w:p w:rsidR="00FF2C58" w:rsidRDefault="00FF2C58">
      <w:pPr>
        <w:tabs>
          <w:tab w:val="left" w:pos="720"/>
          <w:tab w:val="left" w:pos="1440"/>
          <w:tab w:val="left" w:pos="2160"/>
        </w:tabs>
        <w:spacing w:line="254" w:lineRule="atLeast"/>
        <w:jc w:val="both"/>
        <w:rPr>
          <w:rFonts w:ascii="Times New Roman" w:hAnsi="Times New Roman" w:cs="Times New Roman"/>
          <w:sz w:val="22"/>
          <w:szCs w:val="22"/>
        </w:rPr>
      </w:pPr>
    </w:p>
    <w:p w:rsidR="00FF2C58" w:rsidRDefault="002B0846">
      <w:pPr>
        <w:tabs>
          <w:tab w:val="left" w:pos="720"/>
          <w:tab w:val="left" w:pos="1440"/>
          <w:tab w:val="left" w:pos="2160"/>
        </w:tabs>
        <w:spacing w:line="254" w:lineRule="atLeast"/>
        <w:ind w:left="2823" w:hanging="2823"/>
        <w:jc w:val="both"/>
        <w:rPr>
          <w:rFonts w:ascii="Times New Roman" w:hAnsi="Times New Roman" w:cs="Times New Roman"/>
          <w:sz w:val="22"/>
          <w:szCs w:val="22"/>
        </w:rPr>
      </w:pPr>
      <w:r>
        <w:rPr>
          <w:rFonts w:ascii="Times New Roman" w:hAnsi="Times New Roman" w:cs="Times New Roman"/>
          <w:sz w:val="22"/>
          <w:szCs w:val="22"/>
        </w:rPr>
        <w:t xml:space="preserve">  </w:t>
      </w:r>
    </w:p>
    <w:p w:rsidR="00FF2C58" w:rsidRDefault="002B0846">
      <w:pPr>
        <w:spacing w:line="254" w:lineRule="atLeast"/>
        <w:jc w:val="both"/>
        <w:rPr>
          <w:sz w:val="24"/>
          <w:szCs w:val="24"/>
        </w:rPr>
        <w:sectPr w:rsidR="00FF2C58">
          <w:headerReference w:type="default" r:id="rId8"/>
          <w:pgSz w:w="12240" w:h="15840"/>
          <w:pgMar w:top="540" w:right="990" w:bottom="360" w:left="1080" w:header="475" w:footer="720" w:gutter="0"/>
          <w:cols w:space="720"/>
          <w:titlePg/>
          <w:docGrid w:linePitch="272"/>
        </w:sectPr>
      </w:pPr>
      <w:r>
        <w:rPr>
          <w:rFonts w:ascii="Times New Roman" w:hAnsi="Times New Roman" w:cs="Times New Roman"/>
          <w:sz w:val="22"/>
          <w:szCs w:val="22"/>
        </w:rPr>
        <w:t xml:space="preserve">NOTICE TO MORTGAGEE, LIENHOLDER, VENDOR, </w:t>
      </w:r>
      <w:proofErr w:type="gramStart"/>
      <w:r>
        <w:rPr>
          <w:rFonts w:ascii="Times New Roman" w:hAnsi="Times New Roman" w:cs="Times New Roman"/>
          <w:sz w:val="22"/>
          <w:szCs w:val="22"/>
        </w:rPr>
        <w:t>OR</w:t>
      </w:r>
      <w:proofErr w:type="gramEnd"/>
      <w:r>
        <w:rPr>
          <w:rFonts w:ascii="Times New Roman" w:hAnsi="Times New Roman" w:cs="Times New Roman"/>
          <w:sz w:val="22"/>
          <w:szCs w:val="22"/>
        </w:rPr>
        <w:t xml:space="preserve"> SELLERS:  ORS Chapter 215 requires that if you receive this notice, it must be promptly forwarded to the purchaser.</w:t>
      </w:r>
    </w:p>
    <w:p w:rsidR="00FF2C58" w:rsidRDefault="009B2914">
      <w:pPr>
        <w:spacing w:line="254" w:lineRule="atLeast"/>
        <w:jc w:val="both"/>
      </w:pPr>
      <w:r>
        <w:rPr>
          <w:rFonts w:ascii="Times New Roman" w:hAnsi="Times New Roman" w:cs="Times New Roman"/>
          <w:sz w:val="12"/>
          <w:szCs w:val="12"/>
        </w:rPr>
        <w:lastRenderedPageBreak/>
        <w:t>F:\Share\SDR\SDR</w:t>
      </w:r>
      <w:r>
        <w:rPr>
          <w:rFonts w:ascii="Times New Roman" w:hAnsi="Times New Roman" w:cs="Times New Roman"/>
          <w:sz w:val="12"/>
          <w:szCs w:val="12"/>
        </w:rPr>
        <w:noBreakHyphen/>
        <w:t>16</w:t>
      </w:r>
      <w:r>
        <w:rPr>
          <w:rFonts w:ascii="Times New Roman" w:hAnsi="Times New Roman" w:cs="Times New Roman"/>
          <w:sz w:val="12"/>
          <w:szCs w:val="12"/>
        </w:rPr>
        <w:noBreakHyphen/>
        <w:t>14.REM</w:t>
      </w:r>
      <w:r w:rsidR="005C3E00">
        <w:rPr>
          <w:rFonts w:ascii="Times New Roman" w:hAnsi="Times New Roman" w:cs="Times New Roman"/>
          <w:sz w:val="12"/>
          <w:szCs w:val="12"/>
        </w:rPr>
        <w:t>NOTICE</w:t>
      </w:r>
    </w:p>
    <w:sectPr w:rsidR="00FF2C58">
      <w:headerReference w:type="default" r:id="rId9"/>
      <w:type w:val="continuous"/>
      <w:pgSz w:w="12240" w:h="15840"/>
      <w:pgMar w:top="540" w:right="990" w:bottom="360" w:left="1080" w:header="47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46" w:rsidRDefault="002B0846">
      <w:r>
        <w:separator/>
      </w:r>
    </w:p>
  </w:endnote>
  <w:endnote w:type="continuationSeparator" w:id="0">
    <w:p w:rsidR="002B0846" w:rsidRDefault="002B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46" w:rsidRDefault="002B0846">
      <w:r>
        <w:separator/>
      </w:r>
    </w:p>
  </w:footnote>
  <w:footnote w:type="continuationSeparator" w:id="0">
    <w:p w:rsidR="002B0846" w:rsidRDefault="002B0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58" w:rsidRDefault="000059FE">
    <w:pPr>
      <w:spacing w:line="254" w:lineRule="atLeast"/>
      <w:ind w:right="108"/>
      <w:jc w:val="both"/>
      <w:rPr>
        <w:rFonts w:ascii="Times New Roman" w:hAnsi="Times New Roman" w:cs="Times New Roman"/>
        <w:sz w:val="23"/>
        <w:szCs w:val="23"/>
      </w:rPr>
    </w:pPr>
    <w:r>
      <w:rPr>
        <w:rFonts w:ascii="Times New Roman" w:hAnsi="Times New Roman" w:cs="Times New Roman"/>
        <w:sz w:val="23"/>
        <w:szCs w:val="23"/>
      </w:rPr>
      <w:t>Docket SDR-16-14/FP-03</w:t>
    </w:r>
    <w:r w:rsidR="002B0846">
      <w:rPr>
        <w:rFonts w:ascii="Times New Roman" w:hAnsi="Times New Roman" w:cs="Times New Roman"/>
        <w:sz w:val="23"/>
        <w:szCs w:val="23"/>
      </w:rPr>
      <w:t>-14</w:t>
    </w:r>
  </w:p>
  <w:p w:rsidR="00FF2C58" w:rsidRDefault="002B0846">
    <w:pPr>
      <w:spacing w:line="254" w:lineRule="atLeast"/>
      <w:ind w:right="108"/>
      <w:jc w:val="both"/>
      <w:rPr>
        <w:rFonts w:ascii="Times New Roman" w:hAnsi="Times New Roman" w:cs="Times New Roman"/>
        <w:sz w:val="23"/>
        <w:szCs w:val="23"/>
      </w:rPr>
    </w:pPr>
    <w:proofErr w:type="spellStart"/>
    <w:r>
      <w:rPr>
        <w:rFonts w:ascii="Times New Roman" w:hAnsi="Times New Roman" w:cs="Times New Roman"/>
        <w:sz w:val="23"/>
        <w:szCs w:val="23"/>
      </w:rPr>
      <w:t>Riverbend</w:t>
    </w:r>
    <w:proofErr w:type="spellEnd"/>
    <w:r>
      <w:rPr>
        <w:rFonts w:ascii="Times New Roman" w:hAnsi="Times New Roman" w:cs="Times New Roman"/>
        <w:sz w:val="23"/>
        <w:szCs w:val="23"/>
      </w:rPr>
      <w:t xml:space="preserve"> Landfill Expansion</w:t>
    </w:r>
    <w:r w:rsidR="00F74D29">
      <w:rPr>
        <w:rFonts w:ascii="Times New Roman" w:hAnsi="Times New Roman" w:cs="Times New Roman"/>
        <w:sz w:val="23"/>
        <w:szCs w:val="23"/>
      </w:rPr>
      <w:t xml:space="preserve"> Remand Notice</w:t>
    </w:r>
  </w:p>
  <w:p w:rsidR="00FF2C58" w:rsidRDefault="002B0846">
    <w:pPr>
      <w:spacing w:line="254" w:lineRule="atLeast"/>
      <w:ind w:right="108"/>
      <w:jc w:val="both"/>
      <w:rPr>
        <w:rFonts w:ascii="Times New Roman" w:hAnsi="Times New Roman" w:cs="Times New Roman"/>
        <w:sz w:val="23"/>
        <w:szCs w:val="23"/>
      </w:rPr>
    </w:pPr>
    <w:r>
      <w:rPr>
        <w:rFonts w:ascii="Times New Roman" w:hAnsi="Times New Roman" w:cs="Times New Roman"/>
        <w:sz w:val="23"/>
        <w:szCs w:val="23"/>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58" w:rsidRDefault="002B0846">
    <w:pPr>
      <w:spacing w:line="254" w:lineRule="atLeast"/>
      <w:ind w:right="108"/>
      <w:jc w:val="both"/>
      <w:rPr>
        <w:rFonts w:ascii="Times New Roman" w:hAnsi="Times New Roman" w:cs="Times New Roman"/>
        <w:sz w:val="23"/>
        <w:szCs w:val="23"/>
      </w:rPr>
    </w:pPr>
    <w:r>
      <w:rPr>
        <w:rFonts w:ascii="Times New Roman" w:hAnsi="Times New Roman" w:cs="Times New Roman"/>
        <w:sz w:val="23"/>
        <w:szCs w:val="23"/>
      </w:rPr>
      <w:t>PAZ–05-07 (</w:t>
    </w:r>
    <w:proofErr w:type="spellStart"/>
    <w:r>
      <w:rPr>
        <w:rFonts w:ascii="Times New Roman" w:hAnsi="Times New Roman" w:cs="Times New Roman"/>
        <w:sz w:val="23"/>
        <w:szCs w:val="23"/>
      </w:rPr>
      <w:t>Riverbend</w:t>
    </w:r>
    <w:proofErr w:type="spellEnd"/>
    <w:r>
      <w:rPr>
        <w:rFonts w:ascii="Times New Roman" w:hAnsi="Times New Roman" w:cs="Times New Roman"/>
        <w:sz w:val="23"/>
        <w:szCs w:val="23"/>
      </w:rPr>
      <w:t xml:space="preserve"> Landfill Company, Inc.)</w:t>
    </w:r>
  </w:p>
  <w:p w:rsidR="00FF2C58" w:rsidRDefault="002B0846">
    <w:pPr>
      <w:spacing w:line="254" w:lineRule="atLeast"/>
      <w:ind w:right="108"/>
      <w:jc w:val="both"/>
      <w:rPr>
        <w:rFonts w:ascii="Times New Roman" w:hAnsi="Times New Roman" w:cs="Times New Roman"/>
        <w:sz w:val="23"/>
        <w:szCs w:val="23"/>
      </w:rPr>
    </w:pPr>
    <w:r>
      <w:rPr>
        <w:rFonts w:ascii="Times New Roman" w:hAnsi="Times New Roman" w:cs="Times New Roman"/>
        <w:sz w:val="23"/>
        <w:szCs w:val="23"/>
      </w:rPr>
      <w:t xml:space="preserve">Public Notice </w:t>
    </w:r>
  </w:p>
  <w:p w:rsidR="00FF2C58" w:rsidRDefault="002B0846">
    <w:pPr>
      <w:spacing w:line="254" w:lineRule="atLeast"/>
      <w:ind w:right="108"/>
      <w:jc w:val="both"/>
      <w:rPr>
        <w:rFonts w:ascii="Times New Roman" w:hAnsi="Times New Roman" w:cs="Times New Roman"/>
        <w:sz w:val="23"/>
        <w:szCs w:val="23"/>
      </w:rPr>
    </w:pPr>
    <w:r>
      <w:rPr>
        <w:rFonts w:ascii="Times New Roman" w:hAnsi="Times New Roman" w:cs="Times New Roman"/>
        <w:sz w:val="23"/>
        <w:szCs w:val="23"/>
      </w:rPr>
      <w:t xml:space="preserve">Page </w:t>
    </w:r>
    <w:r>
      <w:rPr>
        <w:rFonts w:ascii="Times New Roman" w:hAnsi="Times New Roman" w:cs="Times New Roman"/>
        <w:sz w:val="23"/>
        <w:szCs w:val="23"/>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0288"/>
    <w:multiLevelType w:val="hybridMultilevel"/>
    <w:tmpl w:val="47C8549C"/>
    <w:lvl w:ilvl="0" w:tplc="4976A0AA">
      <w:start w:val="1"/>
      <w:numFmt w:val="decimal"/>
      <w:lvlText w:val="(%1)"/>
      <w:lvlJc w:val="left"/>
      <w:pPr>
        <w:ind w:left="3180" w:hanging="360"/>
      </w:pPr>
      <w:rPr>
        <w:rFonts w:hint="default"/>
        <w:b w:val="0"/>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
    <w:nsid w:val="7D864982"/>
    <w:multiLevelType w:val="hybridMultilevel"/>
    <w:tmpl w:val="47C8549C"/>
    <w:lvl w:ilvl="0" w:tplc="4976A0AA">
      <w:start w:val="1"/>
      <w:numFmt w:val="decimal"/>
      <w:lvlText w:val="(%1)"/>
      <w:lvlJc w:val="left"/>
      <w:pPr>
        <w:ind w:left="3180" w:hanging="360"/>
      </w:pPr>
      <w:rPr>
        <w:rFonts w:hint="default"/>
        <w:b w:val="0"/>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58"/>
    <w:rsid w:val="000059FE"/>
    <w:rsid w:val="00090501"/>
    <w:rsid w:val="001C1245"/>
    <w:rsid w:val="00267D52"/>
    <w:rsid w:val="002B0846"/>
    <w:rsid w:val="003772CB"/>
    <w:rsid w:val="003E001F"/>
    <w:rsid w:val="004D1A52"/>
    <w:rsid w:val="004F0F8F"/>
    <w:rsid w:val="005A23FF"/>
    <w:rsid w:val="005C3E00"/>
    <w:rsid w:val="007700CD"/>
    <w:rsid w:val="008544A6"/>
    <w:rsid w:val="008A0725"/>
    <w:rsid w:val="009B2914"/>
    <w:rsid w:val="00AD134D"/>
    <w:rsid w:val="00AE21E3"/>
    <w:rsid w:val="00B16B6C"/>
    <w:rsid w:val="00B23A31"/>
    <w:rsid w:val="00B64563"/>
    <w:rsid w:val="00F74D29"/>
    <w:rsid w:val="00FF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uiPriority w:val="99"/>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Style2">
    <w:name w:val="Style2"/>
    <w:uiPriority w:val="99"/>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Style3">
    <w:name w:val="Style3"/>
    <w:uiPriority w:val="99"/>
    <w:pPr>
      <w:widowControl w:val="0"/>
      <w:tabs>
        <w:tab w:val="left" w:pos="720"/>
        <w:tab w:val="left" w:pos="1440"/>
        <w:tab w:val="left" w:pos="2160"/>
      </w:tabs>
      <w:autoSpaceDE w:val="0"/>
      <w:autoSpaceDN w:val="0"/>
      <w:adjustRightInd w:val="0"/>
      <w:spacing w:after="0" w:line="240" w:lineRule="auto"/>
      <w:ind w:left="2160" w:hanging="3600"/>
      <w:jc w:val="both"/>
    </w:pPr>
    <w:rPr>
      <w:rFonts w:ascii="Courier 10cpi" w:hAnsi="Courier 10cpi"/>
      <w:sz w:val="24"/>
      <w:szCs w:val="24"/>
    </w:rPr>
  </w:style>
  <w:style w:type="paragraph" w:customStyle="1" w:styleId="Style4">
    <w:name w:val="Style4"/>
    <w:uiPriority w:val="99"/>
    <w:pPr>
      <w:widowControl w:val="0"/>
      <w:tabs>
        <w:tab w:val="left" w:pos="720"/>
        <w:tab w:val="left" w:pos="1440"/>
        <w:tab w:val="left" w:pos="2160"/>
        <w:tab w:val="left" w:pos="2880"/>
      </w:tabs>
      <w:autoSpaceDE w:val="0"/>
      <w:autoSpaceDN w:val="0"/>
      <w:adjustRightInd w:val="0"/>
      <w:spacing w:after="0" w:line="240" w:lineRule="auto"/>
      <w:ind w:left="2880" w:hanging="5040"/>
      <w:jc w:val="both"/>
    </w:pPr>
    <w:rPr>
      <w:rFonts w:ascii="Courier 10cpi" w:hAnsi="Courier 10cpi"/>
      <w:sz w:val="24"/>
      <w:szCs w:val="24"/>
    </w:rPr>
  </w:style>
  <w:style w:type="paragraph" w:customStyle="1" w:styleId="Style5">
    <w:name w:val="Style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6480"/>
      <w:jc w:val="both"/>
    </w:pPr>
    <w:rPr>
      <w:rFonts w:ascii="Courier 10cpi" w:hAnsi="Courier 10cpi"/>
      <w:sz w:val="24"/>
      <w:szCs w:val="24"/>
    </w:rPr>
  </w:style>
  <w:style w:type="paragraph" w:customStyle="1" w:styleId="Style6">
    <w:name w:val="Style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920"/>
      <w:jc w:val="both"/>
    </w:pPr>
    <w:rPr>
      <w:rFonts w:ascii="Courier 10cpi" w:hAnsi="Courier 10cpi"/>
      <w:sz w:val="24"/>
      <w:szCs w:val="24"/>
    </w:rPr>
  </w:style>
  <w:style w:type="paragraph" w:customStyle="1" w:styleId="Style7">
    <w:name w:val="Style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9360"/>
      <w:jc w:val="both"/>
    </w:pPr>
    <w:rPr>
      <w:rFonts w:ascii="Courier 10cpi" w:hAnsi="Courier 10cpi"/>
      <w:sz w:val="24"/>
      <w:szCs w:val="24"/>
    </w:rPr>
  </w:style>
  <w:style w:type="paragraph" w:customStyle="1" w:styleId="Style8">
    <w:name w:val="Style8"/>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10800"/>
      <w:jc w:val="both"/>
    </w:pPr>
    <w:rPr>
      <w:rFonts w:ascii="Courier 10cpi" w:hAnsi="Courier 10cpi"/>
      <w:sz w:val="24"/>
      <w:szCs w:val="24"/>
    </w:rPr>
  </w:style>
  <w:style w:type="paragraph" w:customStyle="1" w:styleId="Style9">
    <w:name w:val="Style9"/>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0">
    <w:name w:val="Style10"/>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1">
    <w:name w:val="Style11"/>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2">
    <w:name w:val="Style12"/>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3">
    <w:name w:val="Style13"/>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4">
    <w:name w:val="Style14"/>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5">
    <w:name w:val="Style15"/>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6">
    <w:name w:val="Style16"/>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7">
    <w:name w:val="Style17"/>
    <w:uiPriority w:val="99"/>
    <w:pPr>
      <w:keepNext/>
      <w:widowControl w:val="0"/>
      <w:autoSpaceDE w:val="0"/>
      <w:autoSpaceDN w:val="0"/>
      <w:adjustRightInd w:val="0"/>
      <w:spacing w:after="0" w:line="240" w:lineRule="auto"/>
      <w:jc w:val="center"/>
    </w:pPr>
    <w:rPr>
      <w:rFonts w:ascii="Courier 10cpi" w:hAnsi="Courier 10cpi"/>
      <w:sz w:val="24"/>
      <w:szCs w:val="24"/>
    </w:rPr>
  </w:style>
  <w:style w:type="paragraph" w:customStyle="1" w:styleId="Style18">
    <w:name w:val="Style18"/>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9">
    <w:name w:val="Style19"/>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20">
    <w:name w:val="Style20"/>
    <w:uiPriority w:val="99"/>
    <w:pPr>
      <w:widowControl w:val="0"/>
      <w:autoSpaceDE w:val="0"/>
      <w:autoSpaceDN w:val="0"/>
      <w:adjustRightInd w:val="0"/>
      <w:spacing w:after="0" w:line="240" w:lineRule="auto"/>
    </w:pPr>
    <w:rPr>
      <w:rFonts w:ascii="Courier 10cpi" w:hAnsi="Courier 10cpi"/>
      <w:sz w:val="24"/>
      <w:szCs w:val="24"/>
    </w:rPr>
  </w:style>
  <w:style w:type="paragraph" w:customStyle="1" w:styleId="Style21">
    <w:name w:val="Style21"/>
    <w:uiPriority w:val="99"/>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Style22">
    <w:name w:val="Style22"/>
    <w:uiPriority w:val="99"/>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Style23">
    <w:name w:val="Style23"/>
    <w:uiPriority w:val="99"/>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Style24">
    <w:name w:val="Style24"/>
    <w:uiPriority w:val="99"/>
    <w:pPr>
      <w:widowControl w:val="0"/>
      <w:autoSpaceDE w:val="0"/>
      <w:autoSpaceDN w:val="0"/>
      <w:adjustRightInd w:val="0"/>
      <w:spacing w:after="0" w:line="240" w:lineRule="auto"/>
      <w:ind w:left="1440" w:right="720"/>
      <w:jc w:val="both"/>
    </w:pPr>
    <w:rPr>
      <w:rFonts w:ascii="Courier 10cpi" w:hAnsi="Courier 10cpi"/>
      <w:sz w:val="24"/>
      <w:szCs w:val="24"/>
    </w:rPr>
  </w:style>
  <w:style w:type="character" w:customStyle="1" w:styleId="Style25">
    <w:name w:val="Style25"/>
    <w:uiPriority w:val="99"/>
  </w:style>
  <w:style w:type="character" w:customStyle="1" w:styleId="Style26">
    <w:name w:val="Style26"/>
    <w:uiPriority w:val="99"/>
  </w:style>
  <w:style w:type="character" w:customStyle="1" w:styleId="Style27">
    <w:name w:val="Style27"/>
    <w:uiPriority w:val="99"/>
  </w:style>
  <w:style w:type="character" w:customStyle="1" w:styleId="Style28">
    <w:name w:val="Style28"/>
    <w:uiPriority w:val="99"/>
    <w:rPr>
      <w:color w:val="0000FF"/>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10cpi" w:hAnsi="Courier 10cpi"/>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10cpi" w:hAnsi="Courier 10cpi"/>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uiPriority w:val="99"/>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Style2">
    <w:name w:val="Style2"/>
    <w:uiPriority w:val="99"/>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Style3">
    <w:name w:val="Style3"/>
    <w:uiPriority w:val="99"/>
    <w:pPr>
      <w:widowControl w:val="0"/>
      <w:tabs>
        <w:tab w:val="left" w:pos="720"/>
        <w:tab w:val="left" w:pos="1440"/>
        <w:tab w:val="left" w:pos="2160"/>
      </w:tabs>
      <w:autoSpaceDE w:val="0"/>
      <w:autoSpaceDN w:val="0"/>
      <w:adjustRightInd w:val="0"/>
      <w:spacing w:after="0" w:line="240" w:lineRule="auto"/>
      <w:ind w:left="2160" w:hanging="3600"/>
      <w:jc w:val="both"/>
    </w:pPr>
    <w:rPr>
      <w:rFonts w:ascii="Courier 10cpi" w:hAnsi="Courier 10cpi"/>
      <w:sz w:val="24"/>
      <w:szCs w:val="24"/>
    </w:rPr>
  </w:style>
  <w:style w:type="paragraph" w:customStyle="1" w:styleId="Style4">
    <w:name w:val="Style4"/>
    <w:uiPriority w:val="99"/>
    <w:pPr>
      <w:widowControl w:val="0"/>
      <w:tabs>
        <w:tab w:val="left" w:pos="720"/>
        <w:tab w:val="left" w:pos="1440"/>
        <w:tab w:val="left" w:pos="2160"/>
        <w:tab w:val="left" w:pos="2880"/>
      </w:tabs>
      <w:autoSpaceDE w:val="0"/>
      <w:autoSpaceDN w:val="0"/>
      <w:adjustRightInd w:val="0"/>
      <w:spacing w:after="0" w:line="240" w:lineRule="auto"/>
      <w:ind w:left="2880" w:hanging="5040"/>
      <w:jc w:val="both"/>
    </w:pPr>
    <w:rPr>
      <w:rFonts w:ascii="Courier 10cpi" w:hAnsi="Courier 10cpi"/>
      <w:sz w:val="24"/>
      <w:szCs w:val="24"/>
    </w:rPr>
  </w:style>
  <w:style w:type="paragraph" w:customStyle="1" w:styleId="Style5">
    <w:name w:val="Style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6480"/>
      <w:jc w:val="both"/>
    </w:pPr>
    <w:rPr>
      <w:rFonts w:ascii="Courier 10cpi" w:hAnsi="Courier 10cpi"/>
      <w:sz w:val="24"/>
      <w:szCs w:val="24"/>
    </w:rPr>
  </w:style>
  <w:style w:type="paragraph" w:customStyle="1" w:styleId="Style6">
    <w:name w:val="Style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920"/>
      <w:jc w:val="both"/>
    </w:pPr>
    <w:rPr>
      <w:rFonts w:ascii="Courier 10cpi" w:hAnsi="Courier 10cpi"/>
      <w:sz w:val="24"/>
      <w:szCs w:val="24"/>
    </w:rPr>
  </w:style>
  <w:style w:type="paragraph" w:customStyle="1" w:styleId="Style7">
    <w:name w:val="Style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9360"/>
      <w:jc w:val="both"/>
    </w:pPr>
    <w:rPr>
      <w:rFonts w:ascii="Courier 10cpi" w:hAnsi="Courier 10cpi"/>
      <w:sz w:val="24"/>
      <w:szCs w:val="24"/>
    </w:rPr>
  </w:style>
  <w:style w:type="paragraph" w:customStyle="1" w:styleId="Style8">
    <w:name w:val="Style8"/>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10800"/>
      <w:jc w:val="both"/>
    </w:pPr>
    <w:rPr>
      <w:rFonts w:ascii="Courier 10cpi" w:hAnsi="Courier 10cpi"/>
      <w:sz w:val="24"/>
      <w:szCs w:val="24"/>
    </w:rPr>
  </w:style>
  <w:style w:type="paragraph" w:customStyle="1" w:styleId="Style9">
    <w:name w:val="Style9"/>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0">
    <w:name w:val="Style10"/>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1">
    <w:name w:val="Style11"/>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2">
    <w:name w:val="Style12"/>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3">
    <w:name w:val="Style13"/>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4">
    <w:name w:val="Style14"/>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5">
    <w:name w:val="Style15"/>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6">
    <w:name w:val="Style16"/>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7">
    <w:name w:val="Style17"/>
    <w:uiPriority w:val="99"/>
    <w:pPr>
      <w:keepNext/>
      <w:widowControl w:val="0"/>
      <w:autoSpaceDE w:val="0"/>
      <w:autoSpaceDN w:val="0"/>
      <w:adjustRightInd w:val="0"/>
      <w:spacing w:after="0" w:line="240" w:lineRule="auto"/>
      <w:jc w:val="center"/>
    </w:pPr>
    <w:rPr>
      <w:rFonts w:ascii="Courier 10cpi" w:hAnsi="Courier 10cpi"/>
      <w:sz w:val="24"/>
      <w:szCs w:val="24"/>
    </w:rPr>
  </w:style>
  <w:style w:type="paragraph" w:customStyle="1" w:styleId="Style18">
    <w:name w:val="Style18"/>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19">
    <w:name w:val="Style19"/>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Style20">
    <w:name w:val="Style20"/>
    <w:uiPriority w:val="99"/>
    <w:pPr>
      <w:widowControl w:val="0"/>
      <w:autoSpaceDE w:val="0"/>
      <w:autoSpaceDN w:val="0"/>
      <w:adjustRightInd w:val="0"/>
      <w:spacing w:after="0" w:line="240" w:lineRule="auto"/>
    </w:pPr>
    <w:rPr>
      <w:rFonts w:ascii="Courier 10cpi" w:hAnsi="Courier 10cpi"/>
      <w:sz w:val="24"/>
      <w:szCs w:val="24"/>
    </w:rPr>
  </w:style>
  <w:style w:type="paragraph" w:customStyle="1" w:styleId="Style21">
    <w:name w:val="Style21"/>
    <w:uiPriority w:val="99"/>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Style22">
    <w:name w:val="Style22"/>
    <w:uiPriority w:val="99"/>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Style23">
    <w:name w:val="Style23"/>
    <w:uiPriority w:val="99"/>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Style24">
    <w:name w:val="Style24"/>
    <w:uiPriority w:val="99"/>
    <w:pPr>
      <w:widowControl w:val="0"/>
      <w:autoSpaceDE w:val="0"/>
      <w:autoSpaceDN w:val="0"/>
      <w:adjustRightInd w:val="0"/>
      <w:spacing w:after="0" w:line="240" w:lineRule="auto"/>
      <w:ind w:left="1440" w:right="720"/>
      <w:jc w:val="both"/>
    </w:pPr>
    <w:rPr>
      <w:rFonts w:ascii="Courier 10cpi" w:hAnsi="Courier 10cpi"/>
      <w:sz w:val="24"/>
      <w:szCs w:val="24"/>
    </w:rPr>
  </w:style>
  <w:style w:type="character" w:customStyle="1" w:styleId="Style25">
    <w:name w:val="Style25"/>
    <w:uiPriority w:val="99"/>
  </w:style>
  <w:style w:type="character" w:customStyle="1" w:styleId="Style26">
    <w:name w:val="Style26"/>
    <w:uiPriority w:val="99"/>
  </w:style>
  <w:style w:type="character" w:customStyle="1" w:styleId="Style27">
    <w:name w:val="Style27"/>
    <w:uiPriority w:val="99"/>
  </w:style>
  <w:style w:type="character" w:customStyle="1" w:styleId="Style28">
    <w:name w:val="Style28"/>
    <w:uiPriority w:val="99"/>
    <w:rPr>
      <w:color w:val="0000FF"/>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10cpi" w:hAnsi="Courier 10cpi"/>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10cpi" w:hAnsi="Courier 10cpi"/>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997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Friday</dc:creator>
  <cp:lastModifiedBy>Ken Friday</cp:lastModifiedBy>
  <cp:revision>4</cp:revision>
  <cp:lastPrinted>2016-01-13T17:26:00Z</cp:lastPrinted>
  <dcterms:created xsi:type="dcterms:W3CDTF">2016-01-13T17:05:00Z</dcterms:created>
  <dcterms:modified xsi:type="dcterms:W3CDTF">2016-01-14T00:47:00Z</dcterms:modified>
</cp:coreProperties>
</file>